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9, 2026</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President Karen Spilka</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Beacon St.</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332</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MA 02133</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 S.2801, An Act Fostering Agricultural Resilience in Massachusetts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Dear President Spilka,</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partnership with more than forty nonprofit organizations, farms, and food system businesses from across the Commonwealth, the Massachusetts Food System Collaborative respectfully submits this testimony in support of S.2801, An Act Fostering Agricultural Resilience in Massachusetts.  </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offers vital support to Massachusetts farmers, addressing pressing issues around land access and protection, farm viability, food security, and state agency coordination and represents significant steps toward a more sustainable, equitable and resilient food system. </w:t>
      </w:r>
    </w:p>
    <w:p w:rsidR="00000000" w:rsidDel="00000000" w:rsidP="00000000" w:rsidRDefault="00000000" w:rsidRPr="00000000" w14:paraId="0000000E">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policies are urgently needed, as the Commonwealth lost 27,000 acres of farmland between 2017 and 2022, farmers lose money , according to the 21st Century Commission report and make $0.95 for every $1 they invest in their business, farmers age out of farming and are forced to sell their land to afford retirement, and more than 30% of farms are expected to change hands in the coming decade, according to research from American Farmland Trust and Land for Good. Food insecurity will remain high as SNAP cuts from OB3 go into effect this year, and we must shore up our local food system as it is continually ravaged by droughts or flooding, as the most demonstrable effects of climate change.</w:t>
      </w:r>
    </w:p>
    <w:p w:rsidR="00000000" w:rsidDel="00000000" w:rsidP="00000000" w:rsidRDefault="00000000" w:rsidRPr="00000000" w14:paraId="00000010">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64"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Land Access and Protection</w:t>
      </w:r>
    </w:p>
    <w:p w:rsidR="00000000" w:rsidDel="00000000" w:rsidP="00000000" w:rsidRDefault="00000000" w:rsidRPr="00000000" w14:paraId="00000012">
      <w:pPr>
        <w:spacing w:line="264"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3">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7: Massachusetts’ Agricultural Preservation Restriction (APR) program has permanently protected more than 75,000 acres of land, ensuring that this land will stay in agricultural production in perpetuity. This section will provide for more equitable compensation for farmers who choose to sell agricultural easements to enroll in the program, by allowing for infrastructure and easements to be included in the appraisal. Doing so will encourage more farmers to participate in the program, allowing the state to protect more farmland, as housing security is a concern for farmers and farm workers, as it is across the state. </w:t>
      </w:r>
    </w:p>
    <w:p w:rsidR="00000000" w:rsidDel="00000000" w:rsidP="00000000" w:rsidRDefault="00000000" w:rsidRPr="00000000" w14:paraId="00000014">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8: Directs the Agricultural Lands Preservation Committee (ALPC) to set annual and long-term goals for enrolling land in the APR program. This would help to implement the many goals of the 2023 Farmland Action Plan, in coordination with MDAR staff, and it should not slow down the work of the ALPC to assess farms moving throughout the APR process. </w:t>
      </w:r>
    </w:p>
    <w:p w:rsidR="00000000" w:rsidDel="00000000" w:rsidP="00000000" w:rsidRDefault="00000000" w:rsidRPr="00000000" w14:paraId="00000016">
      <w:pPr>
        <w:spacing w:line="264"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7">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12: We are pleased to see this section in the redrafted omnibus that would establish a fund to support the conversion of vacant lots and underutilized spaces in urban environmental justice communities into production farms, community gardens, and other agricultural enterprises. We appreciate the Committee on Agriculture and Fisheries’ addition of a definition of environmental justice populations. </w:t>
      </w:r>
    </w:p>
    <w:p w:rsidR="00000000" w:rsidDel="00000000" w:rsidP="00000000" w:rsidRDefault="00000000" w:rsidRPr="00000000" w14:paraId="00000018">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2023 Resilient Lands Initiative (RLI) report, there are 28,000 vacant lots, equating to 34,000 acres of unused land, in environmental justice census tracts within the state’s forty-five cities.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 smaller percentage of these are likely suitable for urban agriculture, as many could be used for housing and to comply with the MBTA Communities Act. Converting vacant lots and underutilized spaces into agricultural enterprises, as described in the RLI report, is based on the grassroots work of the Dudley Square Neighborhood Initiative in Boston. This work resulted in the Dudley Square Greenhouse and Farm, managed by The Food Project,</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which produces and sells food to the neighborhood, including fruit and vegetable starts every spring and leasing space to residents in the Greenhouse for their own household-level food production. </w:t>
      </w:r>
    </w:p>
    <w:p w:rsidR="00000000" w:rsidDel="00000000" w:rsidP="00000000" w:rsidRDefault="00000000" w:rsidRPr="00000000" w14:paraId="0000001A">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64" w:lineRule="auto"/>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rtl w:val="0"/>
        </w:rPr>
        <w:t xml:space="preserve">MDAR’s eleven-year old Urban Agriculture Grant Program has made two awards to support land purchases; </w:t>
      </w:r>
      <w:hyperlink r:id="rId7">
        <w:r w:rsidDel="00000000" w:rsidR="00000000" w:rsidRPr="00000000">
          <w:rPr>
            <w:rFonts w:ascii="Times New Roman" w:cs="Times New Roman" w:eastAsia="Times New Roman" w:hAnsi="Times New Roman"/>
            <w:color w:val="1155cc"/>
            <w:sz w:val="24"/>
            <w:szCs w:val="24"/>
            <w:u w:val="single"/>
            <w:rtl w:val="0"/>
          </w:rPr>
          <w:t xml:space="preserve">All Farmers</w:t>
        </w:r>
      </w:hyperlink>
      <w:r w:rsidDel="00000000" w:rsidR="00000000" w:rsidRPr="00000000">
        <w:rPr>
          <w:rFonts w:ascii="Times New Roman" w:cs="Times New Roman" w:eastAsia="Times New Roman" w:hAnsi="Times New Roman"/>
          <w:sz w:val="24"/>
          <w:szCs w:val="24"/>
          <w:rtl w:val="0"/>
        </w:rPr>
        <w:t xml:space="preserve"> in the Springfield area and the </w:t>
      </w:r>
      <w:hyperlink r:id="rId8">
        <w:r w:rsidDel="00000000" w:rsidR="00000000" w:rsidRPr="00000000">
          <w:rPr>
            <w:rFonts w:ascii="Times New Roman" w:cs="Times New Roman" w:eastAsia="Times New Roman" w:hAnsi="Times New Roman"/>
            <w:color w:val="1155cc"/>
            <w:sz w:val="24"/>
            <w:szCs w:val="24"/>
            <w:u w:val="single"/>
            <w:rtl w:val="0"/>
          </w:rPr>
          <w:t xml:space="preserve">Regional Environmental Council</w:t>
        </w:r>
      </w:hyperlink>
      <w:r w:rsidDel="00000000" w:rsidR="00000000" w:rsidRPr="00000000">
        <w:rPr>
          <w:rFonts w:ascii="Times New Roman" w:cs="Times New Roman" w:eastAsia="Times New Roman" w:hAnsi="Times New Roman"/>
          <w:sz w:val="24"/>
          <w:szCs w:val="24"/>
          <w:rtl w:val="0"/>
        </w:rPr>
        <w:t xml:space="preserve"> in Worcester. The Collaborative sees this bill as a means to expand on this work, and to continue to weave connections between urban, suburban, and rural agriculture. This bill also builds upon existing work at the municipal level, as several municipalities across the state, including Boston and New Bedford, have used federal Community Development Block Grant funds to support the creation of community gardens from vacant lots. </w:t>
      </w:r>
      <w:r w:rsidDel="00000000" w:rsidR="00000000" w:rsidRPr="00000000">
        <w:rPr>
          <w:rtl w:val="0"/>
        </w:rPr>
      </w:r>
    </w:p>
    <w:p w:rsidR="00000000" w:rsidDel="00000000" w:rsidP="00000000" w:rsidRDefault="00000000" w:rsidRPr="00000000" w14:paraId="0000001C">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Land access is a continuing struggle for Massachusetts farmers - the average cost of farm real estate per acre is $14,900, according to the 2025 USDA NASS Land Values report.</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At the same time, 27,000 acres of farmland were lost to abandonment and development from 2017 to 2022, according to the USDA Census of Agriculture. This double squeeze of expensive available land and a rapidly shrinking land base puts agriculture out of reach for many that are interested. This bill would also benefit municipal budgets, as vacant lots do not bring in tax revenue, often generate code violations, and create costs for the local department of public works with mowing and removing trash.</w:t>
      </w:r>
    </w:p>
    <w:p w:rsidR="00000000" w:rsidDel="00000000" w:rsidP="00000000" w:rsidRDefault="00000000" w:rsidRPr="00000000" w14:paraId="0000001D">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64"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Finally, this section has the potential to strengthen connections to food literacy in K-12 education, by creating a pathway from programs at vocational technical schools, to post-secondary education careers in food production using vacant lots in urban areas. Supporting increased food production in environmental justice communities benefits local food security, economic development, reduces the urban heat island effect, and has the potential to improve social cohesion. </w:t>
      </w:r>
      <w:r w:rsidDel="00000000" w:rsidR="00000000" w:rsidRPr="00000000">
        <w:rPr>
          <w:rtl w:val="0"/>
        </w:rPr>
      </w:r>
    </w:p>
    <w:p w:rsidR="00000000" w:rsidDel="00000000" w:rsidP="00000000" w:rsidRDefault="00000000" w:rsidRPr="00000000" w14:paraId="0000001F">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17: When farms become available for purchase, the seller often wants to move quickly; those quick transactions can lead to the loss of productive farmland, as developers are often in the strongest position to be able to purchase the property quickly. Section 17 gives MDAR a right of first refusal, positioned behind a municipality’s, for the purpose of protecting land for agricultural and horticultural use. This right of first refusal would help to fully implement MDAR’s new buy-protect-sell authority, along with authorizing funds for this purpose and additional staff capacity to respond rapidly when land comes up for sale. We are concerned that MDAR would be allowed to assign its option to the Department of Conservation and Recreation under this section, and suggest replacing this with a requirement to license or sell the land, with an Agricultural Preservation Restriction, to a farmer. While MDAR successfully manages a growing portfolio of land for other state agencies that is leased to farmers, DCR has a different organizational mission and the goal of conserving farmland is to keep it in active agricultural production, not only conservation for conservation’s sake. Additionally, as the 120-day notice runs equally to both the town and state, the opportunity for the state to exercise could be constrained if the town is slow to make up its mind. We’d suggest potentially adding language requiring the town to have to give notice to the state within 90 days of its intent to exercise or not. This way, the clock wouldn’t run out before the state could move. </w:t>
      </w:r>
    </w:p>
    <w:p w:rsidR="00000000" w:rsidDel="00000000" w:rsidP="00000000" w:rsidRDefault="00000000" w:rsidRPr="00000000" w14:paraId="00000021">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18: The state does not have a current map of where all parcels enrolled in Massachusetts General Law (MGL) Chapter 61A are located, and this hinders work to protect parcels of less than five acres, and makes it more difficult for prospective farmers to identify potential farm business sites. This section directs the Department of Revenue to create and maintain a registry of all agricultural and horticultural land in Massachusetts, including a publicly accessible map. Other New England states already require state agencies to maintain such registries. </w:t>
      </w:r>
    </w:p>
    <w:p w:rsidR="00000000" w:rsidDel="00000000" w:rsidP="00000000" w:rsidRDefault="00000000" w:rsidRPr="00000000" w14:paraId="00000023">
      <w:pPr>
        <w:spacing w:line="264"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4">
      <w:pPr>
        <w:spacing w:line="264"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Farm Viability</w:t>
      </w:r>
    </w:p>
    <w:p w:rsidR="00000000" w:rsidDel="00000000" w:rsidP="00000000" w:rsidRDefault="00000000" w:rsidRPr="00000000" w14:paraId="00000025">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2: This section would increase the price preference of governmental bodies such as  a city, town, district, regional school district, county, or agency, board, commission, authority, department or instrumentality of a city, town, district, regional school district or county, that vote to establish a preference for products of agriculture. This price preference would allow the state to purchase agricultural products grown or produced in the Commonwealth if the price of goods exceeds up to 20% of the price of agricultural products grown outside the Commonwealth, an increase from a 10% differential. Increasing this price preference would help Massachusetts work towards greater resiliency and help with reaching the New England Feeding New England’s (NEFNE) goal of 30% local food produced and consumed in New England by 2030. Further, this increase would support a greater number of local agencies including local products in their procurement practices, building on the success of the federally funded Northeast Food for Schools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program. We would suggest adding state agencies to this section. The campaign outlined in section 14 will be crucial to this policy’s implementation, as it is our understanding that this price differential option is not widely understood or used. </w:t>
      </w:r>
    </w:p>
    <w:p w:rsidR="00000000" w:rsidDel="00000000" w:rsidP="00000000" w:rsidRDefault="00000000" w:rsidRPr="00000000" w14:paraId="00000027">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12: According to the USDA Census of Agriculture, Massachusetts farmers have the highest average age in the United States. Training the next generation of farmers to be responsible stewards of the land and environment, while at the same time ensuring they have the skills they need to operate economically sustainable operations, is critical for long-term food system resilience and food security. This section will provide grants to educational institutions and community-based organizations to provide workforce development training to first time farmers, prioritizing programs that serve a high percentage of minority or low-income students or people with disabilities, as well as programs that teach climate-smart management practices.</w:t>
      </w:r>
    </w:p>
    <w:p w:rsidR="00000000" w:rsidDel="00000000" w:rsidP="00000000" w:rsidRDefault="00000000" w:rsidRPr="00000000" w14:paraId="00000029">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SECTIONS 15 and 20: Agritourism is a fast-growing sector of Massachusetts agriculture, according to recent USDA Census of Agriculture reports. These sections would define agritourism in MGL, provide that zoning ordinances cannot unreasonably regulate agritourism, and maintain that land whose primary purpose is agriculture remains in active production.   </w:t>
      </w:r>
    </w:p>
    <w:p w:rsidR="00000000" w:rsidDel="00000000" w:rsidP="00000000" w:rsidRDefault="00000000" w:rsidRPr="00000000" w14:paraId="0000002B">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64"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SECTION 22: Directs the Executive Office of Health and Human Services to conduct a study on social safety net programs availability to farmers and farmworkers. Farmers often struggle to access health insurance as business owners due to their variable incomes; one year they are eligible for MassHealth, and the next they may face a health insurance bill in the tens of thousands of dollars. Instead of being eligible on and off for state coverage, many farmers choose to invest in their business and remain in poverty to maintain public health insurance coverage, a perverse incentive that is not sustainable for long-term farm viability. This report would assist in establishing what barriers exist and what potential next steps should be taken to ensure health care coverage for all food system workers. Unfortunately, due to the impacts of the OBBB being passed into law, the costs of health insurance are expected to rise in the next year and this issue is even more critical. </w:t>
      </w:r>
      <w:r w:rsidDel="00000000" w:rsidR="00000000" w:rsidRPr="00000000">
        <w:rPr>
          <w:rtl w:val="0"/>
        </w:rPr>
      </w:r>
    </w:p>
    <w:p w:rsidR="00000000" w:rsidDel="00000000" w:rsidP="00000000" w:rsidRDefault="00000000" w:rsidRPr="00000000" w14:paraId="0000002D">
      <w:pPr>
        <w:spacing w:line="264"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E">
      <w:pPr>
        <w:spacing w:line="264"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Food Security </w:t>
      </w:r>
    </w:p>
    <w:p w:rsidR="00000000" w:rsidDel="00000000" w:rsidP="00000000" w:rsidRDefault="00000000" w:rsidRPr="00000000" w14:paraId="0000002F">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3: requires the creation of an annual report, to be delivered to the legislature, on the prevalence of local food in food distribution programs like the Massachusetts Emergency Food Assistance Program (MEFAP), the Healthy Incentives Program, universal school meals, the hunger-free campus initiative, the farm to school FRESH grant program, senior nutrition program, Meals on Wheels, the senior farm share program, and more. Some of this information is already published by our partners, such as the annual MEFAP report,</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this DESE report</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on the state of local sourcing in universal school meals, and DTA’s HIP vendor map.</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The additional information required by this section would be valuable to establish a baseline of where the other programs are sourcing food from. If more local food is going to be sold to the emergency food system, investment in these programs will need to increase to continue to support both the volume of food required to meet the needs of food insecure residents and the costs of local food. </w:t>
      </w:r>
    </w:p>
    <w:p w:rsidR="00000000" w:rsidDel="00000000" w:rsidP="00000000" w:rsidRDefault="00000000" w:rsidRPr="00000000" w14:paraId="00000031">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9: Codifies the Food Security Infrastructure Grant program into law. FSIG has awarded more than $125 million in grants to farms, fishermen, school districts, food pantries, and other food security efforts since the program began as a pandemic response program in 2020. The program faces continued oversubscription, with each round of awards receiving many more applications than can be met with existing funds. This section also allows for the purchase of used equipment, which will save taxpayer dollars, and potentially make it easier for farms to get some equipment that is already in-state. </w:t>
      </w:r>
    </w:p>
    <w:p w:rsidR="00000000" w:rsidDel="00000000" w:rsidP="00000000" w:rsidRDefault="00000000" w:rsidRPr="00000000" w14:paraId="00000033">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64"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State Coordination and Preparedness</w:t>
      </w:r>
    </w:p>
    <w:p w:rsidR="00000000" w:rsidDel="00000000" w:rsidP="00000000" w:rsidRDefault="00000000" w:rsidRPr="00000000" w14:paraId="00000035">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 1: As the Commonwealth learned during the COVID-19 pandemic, being prepared to feed its residents during emergencies is critical. This means not only having plans to distribute food, but also considering how to best utilize the state’s food production capacity. This language will help ensure food security in the Commonwealth in future crises, leveraging the assets of our local food producers.</w:t>
      </w:r>
    </w:p>
    <w:p w:rsidR="00000000" w:rsidDel="00000000" w:rsidP="00000000" w:rsidRDefault="00000000" w:rsidRPr="00000000" w14:paraId="00000036">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respectfully urge you to bring this omnibus legislation forward to be passed into law this session, as it is urgently needed.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Rebecca Miller, Policy Director</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Organizations</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American Farmland Trust, New England</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Berkshire Grown, Great Barrington </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Berkshire Agricultural Ventures, Great Barrington </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Berkshire Bounty, Great Barrington</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Boston Area Gleaners, Acton </w:t>
      </w:r>
    </w:p>
    <w:p w:rsidR="00000000" w:rsidDel="00000000" w:rsidP="00000000" w:rsidRDefault="00000000" w:rsidRPr="00000000" w14:paraId="0000004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Boston Public Market, Boston </w:t>
      </w:r>
    </w:p>
    <w:p w:rsidR="00000000" w:rsidDel="00000000" w:rsidP="00000000" w:rsidRDefault="00000000" w:rsidRPr="00000000" w14:paraId="0000004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Bristol County Agricultural High School, Dighton</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Massachusetts Grown, Rutland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Commonwealth Kitchen, Boston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Involved in Sustaining Agriculture (CISA), South Deerfield</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Servings, Boston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Everett Community Growers, Everett</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Food Bank of Western Massachusetts, Chicopee</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For Free, Somerville</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Franklin County Community Development Corporation, Greenfield </w:t>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Franklin Regional Council of Governments, Greenfield</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Gardening The Community, Springfield</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Greater Boston Food Bank, Boston</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 Food Northampton, Northampton</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Places, Leominster</w:t>
      </w:r>
    </w:p>
    <w:p w:rsidR="00000000" w:rsidDel="00000000" w:rsidP="00000000" w:rsidRDefault="00000000" w:rsidRPr="00000000" w14:paraId="0000005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Land For Good, statewide</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Livestock Institute of Southern New England, Westport</w:t>
      </w:r>
    </w:p>
    <w:p w:rsidR="00000000" w:rsidDel="00000000" w:rsidP="00000000" w:rsidRDefault="00000000" w:rsidRPr="00000000" w14:paraId="0000005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Marion Institute, Marion</w:t>
      </w:r>
    </w:p>
    <w:p w:rsidR="00000000" w:rsidDel="00000000" w:rsidP="00000000" w:rsidRDefault="00000000" w:rsidRPr="00000000" w14:paraId="0000005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Massachusetts Farm to School, statewide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Mas</w:t>
      </w:r>
      <w:r w:rsidDel="00000000" w:rsidR="00000000" w:rsidRPr="00000000">
        <w:rPr>
          <w:rFonts w:ascii="Times New Roman" w:cs="Times New Roman" w:eastAsia="Times New Roman" w:hAnsi="Times New Roman"/>
          <w:sz w:val="24"/>
          <w:szCs w:val="24"/>
          <w:rtl w:val="0"/>
        </w:rPr>
        <w:t xml:space="preserve">sachusetts Food Policy Council Advocacy Committee, statewide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Massachusetts Councils On Aging, statewide </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Massachusetts Farm Bureau Federation, statewide </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Metrowest Food Collaborative, Hudson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Entry Sustainable Farming Project, Beverly</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England Vegetable and Berry Growers Association, statewide</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NOFA/Massachusetts, Florence</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Chance Composting LLC, Adams</w:t>
      </w: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Southcoast Food Policy Council, Marion</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Southeastern Massachusetts Agricultural Partnership, Bristol / Norfolk / Plymouth Counties</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Springfield Food Policy Council, Springfield</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Business Network, Cambridge </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Sustainable Nantucket, Nantucket </w:t>
      </w:r>
    </w:p>
    <w:p w:rsidR="00000000" w:rsidDel="00000000" w:rsidP="00000000" w:rsidRDefault="00000000" w:rsidRPr="00000000" w14:paraId="0000006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World Farmers, Lancaster </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Farms and Farmers’ Markets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 Acres and a Mule Farms, Agawam</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Acton-Boxborough Farmers Market, Acton</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Bombeta Farms, Northampton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Friends of Holly Hill Farm, Cohasset</w:t>
      </w:r>
      <w:r w:rsidDel="00000000" w:rsidR="00000000" w:rsidRPr="00000000">
        <w:rPr>
          <w:rtl w:val="0"/>
        </w:rPr>
      </w:r>
    </w:p>
    <w:sectPr>
      <w:headerReference r:id="rId9" w:type="default"/>
      <w:headerReference r:id="rId10" w:type="firs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page 25 </w:t>
      </w:r>
      <w:hyperlink r:id="rId1">
        <w:r w:rsidDel="00000000" w:rsidR="00000000" w:rsidRPr="00000000">
          <w:rPr>
            <w:color w:val="1155cc"/>
            <w:sz w:val="20"/>
            <w:szCs w:val="20"/>
            <w:u w:val="single"/>
            <w:rtl w:val="0"/>
          </w:rPr>
          <w:t xml:space="preserve">https://www.mass.gov/doc/the-resilient-lands-initiative-2023/download</w:t>
        </w:r>
      </w:hyperlink>
      <w:r w:rsidDel="00000000" w:rsidR="00000000" w:rsidRPr="00000000">
        <w:rPr>
          <w:sz w:val="20"/>
          <w:szCs w:val="20"/>
          <w:rtl w:val="0"/>
        </w:rPr>
        <w:t xml:space="preserve"> </w:t>
      </w:r>
    </w:p>
  </w:footnote>
  <w:footnote w:id="1">
    <w:p w:rsidR="00000000" w:rsidDel="00000000" w:rsidP="00000000" w:rsidRDefault="00000000" w:rsidRPr="00000000" w14:paraId="0000006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https://thefoodproject.org/farms/west-cottage-farm-and-langdon-street-farm/</w:t>
        </w:r>
      </w:hyperlink>
      <w:r w:rsidDel="00000000" w:rsidR="00000000" w:rsidRPr="00000000">
        <w:rPr>
          <w:sz w:val="20"/>
          <w:szCs w:val="20"/>
          <w:rtl w:val="0"/>
        </w:rPr>
        <w:t xml:space="preserve"> </w:t>
      </w:r>
    </w:p>
  </w:footnote>
  <w:footnote w:id="2">
    <w:p w:rsidR="00000000" w:rsidDel="00000000" w:rsidP="00000000" w:rsidRDefault="00000000" w:rsidRPr="00000000" w14:paraId="0000006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https://www.nass.usda.gov/Charts_and_Maps/Land_Values/farm_value_map.php</w:t>
        </w:r>
      </w:hyperlink>
      <w:r w:rsidDel="00000000" w:rsidR="00000000" w:rsidRPr="00000000">
        <w:rPr>
          <w:sz w:val="20"/>
          <w:szCs w:val="20"/>
          <w:rtl w:val="0"/>
        </w:rPr>
        <w:t xml:space="preserve"> </w:t>
      </w:r>
    </w:p>
  </w:footnote>
  <w:footnote w:id="3">
    <w:p w:rsidR="00000000" w:rsidDel="00000000" w:rsidP="00000000" w:rsidRDefault="00000000" w:rsidRPr="00000000" w14:paraId="0000007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https://www.massfarmtoschool.org/ne-food-schools/</w:t>
        </w:r>
      </w:hyperlink>
      <w:r w:rsidDel="00000000" w:rsidR="00000000" w:rsidRPr="00000000">
        <w:rPr>
          <w:sz w:val="20"/>
          <w:szCs w:val="20"/>
          <w:rtl w:val="0"/>
        </w:rPr>
        <w:t xml:space="preserve"> </w:t>
      </w:r>
    </w:p>
  </w:footnote>
  <w:footnote w:id="4">
    <w:p w:rsidR="00000000" w:rsidDel="00000000" w:rsidP="00000000" w:rsidRDefault="00000000" w:rsidRPr="00000000" w14:paraId="0000007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https://www.gbfb.org/wp-content/uploads/2025/04/GBFB_MEFAPFY24_V2a_040825_Final_Spreads.pdf</w:t>
        </w:r>
      </w:hyperlink>
      <w:r w:rsidDel="00000000" w:rsidR="00000000" w:rsidRPr="00000000">
        <w:rPr>
          <w:sz w:val="20"/>
          <w:szCs w:val="20"/>
          <w:rtl w:val="0"/>
        </w:rPr>
        <w:t xml:space="preserve"> </w:t>
      </w:r>
    </w:p>
  </w:footnote>
  <w:footnote w:id="5">
    <w:p w:rsidR="00000000" w:rsidDel="00000000" w:rsidP="00000000" w:rsidRDefault="00000000" w:rsidRPr="00000000" w14:paraId="0000007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https://www.doe.mass.edu/cnp/nutrition-standards/default.html</w:t>
        </w:r>
      </w:hyperlink>
      <w:r w:rsidDel="00000000" w:rsidR="00000000" w:rsidRPr="00000000">
        <w:rPr>
          <w:sz w:val="20"/>
          <w:szCs w:val="20"/>
          <w:rtl w:val="0"/>
        </w:rPr>
        <w:t xml:space="preserve"> </w:t>
      </w:r>
    </w:p>
  </w:footnote>
  <w:footnote w:id="6">
    <w:p w:rsidR="00000000" w:rsidDel="00000000" w:rsidP="00000000" w:rsidRDefault="00000000" w:rsidRPr="00000000" w14:paraId="0000007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https://dtafinder.dtadash.ehs.mass.gov/</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spacing w:line="240" w:lineRule="auto"/>
      <w:rPr/>
    </w:pPr>
    <w:r w:rsidDel="00000000" w:rsidR="00000000" w:rsidRPr="00000000">
      <w:rPr>
        <w:rFonts w:ascii="Cambria" w:cs="Cambria" w:eastAsia="Cambria" w:hAnsi="Cambria"/>
        <w:sz w:val="24"/>
        <w:szCs w:val="24"/>
      </w:rPr>
      <w:drawing>
        <wp:inline distB="0" distT="0" distL="0" distR="0">
          <wp:extent cx="5486400" cy="734695"/>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6400" cy="73469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spacing w:line="240" w:lineRule="auto"/>
      <w:rPr/>
    </w:pPr>
    <w:r w:rsidDel="00000000" w:rsidR="00000000" w:rsidRPr="00000000">
      <w:rPr>
        <w:rFonts w:ascii="Cambria" w:cs="Cambria" w:eastAsia="Cambria" w:hAnsi="Cambria"/>
        <w:sz w:val="24"/>
        <w:szCs w:val="24"/>
      </w:rPr>
      <w:drawing>
        <wp:inline distB="0" distT="0" distL="0" distR="0">
          <wp:extent cx="5486400" cy="73469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6400" cy="7346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allfarmers.world/" TargetMode="External"/><Relationship Id="rId8" Type="http://schemas.openxmlformats.org/officeDocument/2006/relationships/hyperlink" Target="https://www.recworcester.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the-resilient-lands-initiative-2023/download" TargetMode="External"/><Relationship Id="rId2" Type="http://schemas.openxmlformats.org/officeDocument/2006/relationships/hyperlink" Target="https://thefoodproject.org/farms/west-cottage-farm-and-langdon-street-farm/" TargetMode="External"/><Relationship Id="rId3" Type="http://schemas.openxmlformats.org/officeDocument/2006/relationships/hyperlink" Target="https://www.nass.usda.gov/Charts_and_Maps/Land_Values/farm_value_map.php" TargetMode="External"/><Relationship Id="rId4" Type="http://schemas.openxmlformats.org/officeDocument/2006/relationships/hyperlink" Target="https://www.massfarmtoschool.org/ne-food-schools/" TargetMode="External"/><Relationship Id="rId5" Type="http://schemas.openxmlformats.org/officeDocument/2006/relationships/hyperlink" Target="https://www.gbfb.org/wp-content/uploads/2025/04/GBFB_MEFAPFY24_V2a_040825_Final_Spreads.pdf" TargetMode="External"/><Relationship Id="rId6" Type="http://schemas.openxmlformats.org/officeDocument/2006/relationships/hyperlink" Target="https://www.doe.mass.edu/cnp/nutrition-standards/default.html" TargetMode="External"/><Relationship Id="rId7" Type="http://schemas.openxmlformats.org/officeDocument/2006/relationships/hyperlink" Target="https://dtafinder.dtadash.ehs.mas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